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3F65152F" w:rsidR="00F422D3" w:rsidRDefault="00F422D3" w:rsidP="00B42F40">
      <w:pPr>
        <w:pStyle w:val="SoDTitul2"/>
      </w:pPr>
      <w:r>
        <w:t xml:space="preserve">Název zakázky: </w:t>
      </w:r>
      <w:r w:rsidR="00434C61" w:rsidRPr="00434C61">
        <w:t xml:space="preserve">„Modernizace železničního uzlu Ostrava“, 0. </w:t>
      </w:r>
      <w:proofErr w:type="gramStart"/>
      <w:r w:rsidR="00434C61" w:rsidRPr="00434C61">
        <w:t>etapa - rekonstrukce</w:t>
      </w:r>
      <w:proofErr w:type="gramEnd"/>
      <w:r w:rsidR="00434C61" w:rsidRPr="00434C61">
        <w:t xml:space="preserve"> mostního objektu v </w:t>
      </w:r>
      <w:proofErr w:type="spellStart"/>
      <w:r w:rsidR="00434C61" w:rsidRPr="00434C61">
        <w:t>evid</w:t>
      </w:r>
      <w:proofErr w:type="spellEnd"/>
      <w:r w:rsidR="00434C61" w:rsidRPr="00434C61">
        <w:t>. km 267,935</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Pr="00434C61" w:rsidRDefault="00F422D3" w:rsidP="00B42F40">
      <w:pPr>
        <w:pStyle w:val="SoDTextbezodsazen"/>
        <w:spacing w:after="0"/>
      </w:pPr>
      <w:r>
        <w:t xml:space="preserve">se </w:t>
      </w:r>
      <w:r w:rsidRPr="00434C61">
        <w:t xml:space="preserve">sídlem: Dlážděná 1003/7, 110 00 Praha 1 - Nové Město </w:t>
      </w:r>
    </w:p>
    <w:p w14:paraId="3AD77B07" w14:textId="77777777" w:rsidR="00F422D3" w:rsidRPr="00434C61" w:rsidRDefault="00F422D3" w:rsidP="00B42F40">
      <w:pPr>
        <w:pStyle w:val="SoDTextbezodsazen"/>
        <w:spacing w:after="0"/>
      </w:pPr>
      <w:r w:rsidRPr="00434C61">
        <w:t>IČO: 70994234 DIČ: CZ70994234</w:t>
      </w:r>
    </w:p>
    <w:p w14:paraId="779796CD" w14:textId="77777777" w:rsidR="00F422D3" w:rsidRPr="00434C61" w:rsidRDefault="00F422D3" w:rsidP="00B42F40">
      <w:pPr>
        <w:pStyle w:val="SoDTextbezodsazen"/>
        <w:spacing w:after="0"/>
      </w:pPr>
      <w:r w:rsidRPr="00434C61">
        <w:t>zapsaná v obchodním rejstříku vedeném Městským soudem v Praze,</w:t>
      </w:r>
    </w:p>
    <w:p w14:paraId="0D813FD2" w14:textId="77777777" w:rsidR="00F422D3" w:rsidRPr="00434C61" w:rsidRDefault="00F422D3" w:rsidP="00B42F40">
      <w:pPr>
        <w:pStyle w:val="SoDTextbezodsazen"/>
        <w:spacing w:after="0"/>
      </w:pPr>
      <w:r w:rsidRPr="00434C61">
        <w:t>spisová značka A 48384</w:t>
      </w:r>
    </w:p>
    <w:p w14:paraId="327A0CD1" w14:textId="77777777" w:rsidR="00F422D3" w:rsidRPr="00434C61" w:rsidRDefault="00F422D3" w:rsidP="00B42F40">
      <w:pPr>
        <w:pStyle w:val="SoDTextbezodsazen"/>
        <w:spacing w:after="0"/>
      </w:pPr>
      <w:r w:rsidRPr="00434C61">
        <w:t xml:space="preserve">zastoupena: Ing. Mojmírem Nejezchlebem, náměstkem GŘ pro modernizaci dráhy </w:t>
      </w:r>
    </w:p>
    <w:p w14:paraId="0F4A8A3E" w14:textId="77777777" w:rsidR="00F422D3" w:rsidRDefault="00F422D3" w:rsidP="00B42F40">
      <w:pPr>
        <w:pStyle w:val="SoDTextbezodsazen"/>
      </w:pPr>
      <w:r w:rsidRPr="00434C61">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31124023" w:rsidR="00F422D3" w:rsidRDefault="00434C61" w:rsidP="00B42F40">
      <w:pPr>
        <w:pStyle w:val="SoDTextbezodsazen"/>
      </w:pPr>
      <w:r w:rsidRPr="00434C61">
        <w:t>Stavební správa východ, Nerudova 1, 779 00 Olomouc</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3BDDBED5" w:rsidR="00F422D3" w:rsidRDefault="00F422D3" w:rsidP="00B42F40">
      <w:pPr>
        <w:pStyle w:val="SoDTextbezodsazen"/>
      </w:pPr>
      <w:r w:rsidRPr="00434C61">
        <w:t xml:space="preserve">ISPROFOND: </w:t>
      </w:r>
      <w:r w:rsidR="00434C61" w:rsidRPr="00434C61">
        <w:t>5813520009</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434C61"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636AFFA7" w:rsidR="00F422D3" w:rsidRDefault="00F422D3" w:rsidP="00B42F40">
      <w:pPr>
        <w:pStyle w:val="SoDTextbezodsazen"/>
      </w:pPr>
      <w:r w:rsidRPr="00B42F40">
        <w:t xml:space="preserve">Objednatel si přeje, aby Dílo </w:t>
      </w:r>
      <w:bookmarkStart w:id="0" w:name="_Hlk210812722"/>
      <w:r w:rsidR="00434C61" w:rsidRPr="00434C61">
        <w:rPr>
          <w:b/>
          <w:bCs/>
        </w:rPr>
        <w:t xml:space="preserve">„Modernizace železničního uzlu Ostrava“, 0. </w:t>
      </w:r>
      <w:proofErr w:type="gramStart"/>
      <w:r w:rsidR="00434C61" w:rsidRPr="00434C61">
        <w:rPr>
          <w:b/>
          <w:bCs/>
        </w:rPr>
        <w:t>etapa - rekonstrukce</w:t>
      </w:r>
      <w:proofErr w:type="gramEnd"/>
      <w:r w:rsidR="00434C61" w:rsidRPr="00434C61">
        <w:rPr>
          <w:b/>
          <w:bCs/>
        </w:rPr>
        <w:t xml:space="preserve"> mostního objektu v </w:t>
      </w:r>
      <w:proofErr w:type="spellStart"/>
      <w:r w:rsidR="00434C61" w:rsidRPr="00434C61">
        <w:rPr>
          <w:b/>
          <w:bCs/>
        </w:rPr>
        <w:t>evid</w:t>
      </w:r>
      <w:proofErr w:type="spellEnd"/>
      <w:r w:rsidR="00434C61" w:rsidRPr="00434C61">
        <w:rPr>
          <w:b/>
          <w:bCs/>
        </w:rPr>
        <w:t>. km 267,935</w:t>
      </w:r>
      <w:bookmarkEnd w:id="0"/>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6EDBFA25" w:rsidR="00F422D3" w:rsidRPr="0045180B" w:rsidRDefault="00434C61" w:rsidP="00434C61">
      <w:pPr>
        <w:pStyle w:val="SoDslseznam-2"/>
      </w:pPr>
      <w:r w:rsidRPr="00434C61">
        <w:t xml:space="preserve">Technická specifikace (VTP/R-F/17/25, ZTP „Modernizace železničního uzlu Ostrava“, 0. </w:t>
      </w:r>
      <w:proofErr w:type="gramStart"/>
      <w:r w:rsidRPr="00434C61">
        <w:t>etapa - rekonstrukce</w:t>
      </w:r>
      <w:proofErr w:type="gramEnd"/>
      <w:r w:rsidRPr="00434C61">
        <w:t xml:space="preserve"> mostního objektu v </w:t>
      </w:r>
      <w:proofErr w:type="spellStart"/>
      <w:r w:rsidRPr="00434C61">
        <w:t>evid</w:t>
      </w:r>
      <w:proofErr w:type="spellEnd"/>
      <w:r w:rsidRPr="00434C61">
        <w:t xml:space="preserve">. km 267,935 </w:t>
      </w:r>
      <w:r w:rsidRPr="00684FF9">
        <w:t xml:space="preserve">ze dne </w:t>
      </w:r>
      <w:r w:rsidR="00684FF9" w:rsidRPr="006F60BE">
        <w:t>15</w:t>
      </w:r>
      <w:r w:rsidRPr="00684FF9">
        <w:t>. 10. 2025</w:t>
      </w:r>
      <w:r w:rsidRPr="00434C61">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0574F046" w:rsidR="00F422D3" w:rsidRPr="00C50C28" w:rsidRDefault="00F422D3" w:rsidP="00003F09">
      <w:pPr>
        <w:pStyle w:val="SoDslseznam-3"/>
      </w:pPr>
      <w:r w:rsidRPr="00C50C28">
        <w:t>Soupis prací</w:t>
      </w:r>
      <w:r w:rsidR="00434C61">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lastRenderedPageBreak/>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2D84C576" w:rsidR="00E73A2F" w:rsidRPr="00E73A2F" w:rsidRDefault="002D7BAE" w:rsidP="00E73A2F">
      <w:pPr>
        <w:pStyle w:val="SoDslseznam-1"/>
      </w:pPr>
      <w:r w:rsidRPr="00E73A2F">
        <w:t>Sociálně a environmentálně odpovědné zadávání</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434C61" w:rsidRDefault="00C74AE9" w:rsidP="002C03C9">
      <w:pPr>
        <w:pStyle w:val="SoDodraka-1"/>
      </w:pPr>
      <w:r w:rsidRPr="00434C61">
        <w:t>jednání vedená primárně distančním způsobem,</w:t>
      </w:r>
    </w:p>
    <w:p w14:paraId="11E2BE32" w14:textId="52BE3F7A" w:rsidR="00C74AE9" w:rsidRPr="00434C61" w:rsidRDefault="00C74AE9" w:rsidP="00867ED8">
      <w:pPr>
        <w:pStyle w:val="SoDodraka-1"/>
        <w:rPr>
          <w:i/>
          <w:color w:val="00B050"/>
        </w:rPr>
      </w:pPr>
      <w:r w:rsidRPr="00434C61">
        <w:t>studentské exkurze</w:t>
      </w:r>
      <w:r w:rsidR="00867ED8" w:rsidRPr="00434C61">
        <w:t xml:space="preserve">, </w:t>
      </w:r>
    </w:p>
    <w:p w14:paraId="42A74E32" w14:textId="1BA417B9" w:rsidR="00434C61" w:rsidRPr="00434C61" w:rsidRDefault="00C74AE9" w:rsidP="00434C61">
      <w:pPr>
        <w:pStyle w:val="SoDodraka-1"/>
      </w:pPr>
      <w:r w:rsidRPr="00434C61">
        <w:t>recyklace kameniva vyzískávaného z kolejového lože</w:t>
      </w:r>
      <w:r w:rsidR="00434C61" w:rsidRPr="00434C61">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5CCB1C1E" w:rsidR="00F422D3" w:rsidRPr="00C50C28" w:rsidRDefault="00434C61" w:rsidP="00434C61">
      <w:pPr>
        <w:pStyle w:val="SoDslseznam-1"/>
        <w:rPr>
          <w:color w:val="00B050"/>
          <w:szCs w:val="18"/>
        </w:rPr>
      </w:pPr>
      <w:bookmarkStart w:id="1" w:name="_Hlk189556960"/>
      <w:r w:rsidRPr="00645C17">
        <w:rPr>
          <w:szCs w:val="18"/>
        </w:rPr>
        <w:t>NEOBSAZENO</w:t>
      </w:r>
      <w:bookmarkEnd w:id="1"/>
    </w:p>
    <w:p w14:paraId="482A804F" w14:textId="48D3D00A" w:rsidR="00F422D3" w:rsidRDefault="00F422D3" w:rsidP="00F54F3E">
      <w:pPr>
        <w:pStyle w:val="SoDslseznam-1"/>
      </w:pPr>
      <w:r w:rsidRPr="00C50C28">
        <w:lastRenderedPageBreak/>
        <w:t>Ukončením Smlouvy nejsou dotčena ustanovení Smlouvy ve znění dokumentů dle odst. 1 této Smlo</w:t>
      </w:r>
      <w:r w:rsidR="006B0FFD" w:rsidRPr="00C50C28">
        <w:t xml:space="preserve">uvy o dílo a </w:t>
      </w:r>
      <w:r w:rsidR="006B0FFD" w:rsidRPr="00CE2FB0">
        <w:t xml:space="preserve">příloh dle odst. </w:t>
      </w:r>
      <w:r w:rsidR="00332829" w:rsidRPr="00CE2FB0">
        <w:t>2</w:t>
      </w:r>
      <w:r w:rsidR="00CE2FB0" w:rsidRPr="00CE2FB0">
        <w:t>6</w:t>
      </w:r>
      <w:r w:rsidR="00332829" w:rsidRPr="00CE2FB0">
        <w:t xml:space="preserve"> </w:t>
      </w:r>
      <w:r w:rsidRPr="00CE2FB0">
        <w:t>této Smlouvy</w:t>
      </w:r>
      <w:r w:rsidRPr="00C50C28">
        <w:t xml:space="preserve">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004CF0D7" w:rsidR="00E73A2F" w:rsidRDefault="00DB3457" w:rsidP="00DB3457">
      <w:pPr>
        <w:pStyle w:val="SoDslseznam-2"/>
      </w:pPr>
      <w:r w:rsidRPr="00DB3457">
        <w:t>NEOBSAZENO</w:t>
      </w:r>
      <w:r>
        <w:t>.</w:t>
      </w:r>
    </w:p>
    <w:p w14:paraId="241EFAE1" w14:textId="174D9D6E" w:rsidR="004F6BB8" w:rsidRPr="002C6663" w:rsidRDefault="00DB3457" w:rsidP="00F54F3E">
      <w:pPr>
        <w:pStyle w:val="SoDslseznam-2"/>
      </w:pPr>
      <w:r w:rsidRPr="00DB3457">
        <w:t>NEOBSAZENO</w:t>
      </w:r>
      <w:r w:rsidR="008156D5" w:rsidRPr="002C6663">
        <w:t>.</w:t>
      </w:r>
    </w:p>
    <w:p w14:paraId="538B405C" w14:textId="15A70B5C" w:rsidR="007157F6" w:rsidRPr="001B325A" w:rsidRDefault="00DB3457" w:rsidP="00A973B1">
      <w:pPr>
        <w:pStyle w:val="SoDslseznam-2"/>
      </w:pPr>
      <w:bookmarkStart w:id="2" w:name="_Hlk135648984"/>
      <w:r>
        <w:t>NEOBSAZENO.</w:t>
      </w:r>
      <w:r w:rsidRPr="002C6663">
        <w:t xml:space="preserve"> </w:t>
      </w:r>
    </w:p>
    <w:bookmarkEnd w:id="2"/>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77777777" w:rsidR="00FE1C3B" w:rsidRPr="00FE1C3B" w:rsidRDefault="00FE1C3B" w:rsidP="00FE1C3B">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23A0B3B7" w:rsidR="00CB337C" w:rsidRPr="0045180B" w:rsidRDefault="00DB3457" w:rsidP="00DB3457">
      <w:pPr>
        <w:pStyle w:val="SoDslseznam-1"/>
      </w:pPr>
      <w:r w:rsidRPr="00DB3457">
        <w:t>NEOBSAZENO</w:t>
      </w:r>
      <w:r w:rsidR="00CB337C" w:rsidRPr="0045180B">
        <w:t>.</w:t>
      </w:r>
    </w:p>
    <w:p w14:paraId="67528AB0" w14:textId="35DA9F70" w:rsidR="00D20BF2" w:rsidRPr="0045180B" w:rsidRDefault="00DB3457" w:rsidP="00F54F3E">
      <w:pPr>
        <w:pStyle w:val="SoDslseznam-1"/>
      </w:pPr>
      <w:bookmarkStart w:id="3" w:name="_Hlk148084552"/>
      <w:r w:rsidRPr="00DB3457">
        <w:rPr>
          <w:iCs/>
        </w:rPr>
        <w:t>NEOBSAZENO</w:t>
      </w:r>
      <w:bookmarkEnd w:id="3"/>
      <w:r w:rsidR="00CB337C" w:rsidRPr="0045180B">
        <w:t xml:space="preserve">. </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w:t>
      </w:r>
      <w:r w:rsidRPr="00DA5988">
        <w:lastRenderedPageBreak/>
        <w:t xml:space="preserve">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0472BF97" w:rsidR="001C65FE" w:rsidRPr="002C6663" w:rsidRDefault="001C65FE" w:rsidP="00FC27A9">
      <w:pPr>
        <w:pStyle w:val="SoDslseznam-1"/>
        <w:keepNext/>
      </w:pPr>
      <w:proofErr w:type="spellStart"/>
      <w:r w:rsidRPr="002C6663">
        <w:t>Compliance</w:t>
      </w:r>
      <w:proofErr w:type="spellEnd"/>
      <w:r w:rsidRPr="002C6663">
        <w:t xml:space="preserve"> doložka </w:t>
      </w:r>
    </w:p>
    <w:p w14:paraId="04987F26" w14:textId="38E2BD56" w:rsidR="00EB2658" w:rsidRDefault="00876F16" w:rsidP="00EB2658">
      <w:pPr>
        <w:pStyle w:val="SoDTextbezslovn"/>
      </w:pPr>
      <w:r>
        <w:t>21</w:t>
      </w:r>
      <w:r w:rsidR="00EB2658">
        <w:t>.1</w:t>
      </w:r>
      <w:r w:rsidR="00EB2658">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EB2658">
        <w:t>compliance</w:t>
      </w:r>
      <w:proofErr w:type="spellEnd"/>
      <w:r w:rsidR="00EB2658">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695284D5" w14:textId="78FAA699" w:rsidR="00EB2658" w:rsidRDefault="00876F16" w:rsidP="00EB2658">
      <w:pPr>
        <w:pStyle w:val="SoDTextbezslovn"/>
      </w:pPr>
      <w:r>
        <w:t>21</w:t>
      </w:r>
      <w:r w:rsidR="00EB2658">
        <w:t>.2</w:t>
      </w:r>
      <w:r w:rsidR="00EB2658">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1DBEC9C8" w14:textId="176F29BF" w:rsidR="00EB2658" w:rsidRDefault="00876F16" w:rsidP="00EB2658">
      <w:pPr>
        <w:pStyle w:val="SoDTextbezslovn"/>
      </w:pPr>
      <w:r>
        <w:t>21</w:t>
      </w:r>
      <w:r w:rsidR="00EB2658">
        <w:t>.3</w:t>
      </w:r>
      <w:r w:rsidR="00EB2658">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0BC813FD" w14:textId="4B3657A4" w:rsidR="007A08B0" w:rsidRPr="007A08B0" w:rsidRDefault="00876F16" w:rsidP="00EB2658">
      <w:pPr>
        <w:pStyle w:val="SoDTextbezslovn"/>
      </w:pPr>
      <w:r>
        <w:t>21</w:t>
      </w:r>
      <w:r w:rsidR="00EB2658">
        <w:t>.4</w:t>
      </w:r>
      <w:r w:rsidR="00EB2658">
        <w:tab/>
        <w:t xml:space="preserve">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 </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4" w:name="_Hlk176777839"/>
      <w:r>
        <w:t xml:space="preserve">není obchodní společností, ve které veřejný funkcionář uvedený v ust. § 2 odst. 1 písm. c) zákona č. 159/2006 Sb., o střetu zájmů, ve znění pozdějších předpisů (dále jen „Zákon o střetu zájmů“) nebo jím ovládaná osoba vlastní podíl </w:t>
      </w:r>
      <w:r>
        <w:lastRenderedPageBreak/>
        <w:t>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4"/>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0FC6AC54" w14:textId="75A6DD79" w:rsidR="00A7146F" w:rsidRPr="00A74DF1" w:rsidRDefault="00A74DF1" w:rsidP="003C4A3D">
      <w:pPr>
        <w:pStyle w:val="slovanseznam"/>
      </w:pPr>
      <w:r w:rsidRPr="00A74DF1">
        <w:rPr>
          <w:iCs/>
        </w:rPr>
        <w:t>NEOBSAZENO</w:t>
      </w:r>
      <w:r w:rsidR="004763BB" w:rsidRPr="00A74DF1">
        <w:rPr>
          <w:i/>
        </w:rPr>
        <w:t>.</w:t>
      </w:r>
    </w:p>
    <w:p w14:paraId="6F5F9A7A" w14:textId="410279E0" w:rsidR="00F602B1" w:rsidRPr="003C4A3D" w:rsidRDefault="00F602B1" w:rsidP="00F602B1">
      <w:pPr>
        <w:pStyle w:val="slovanseznam"/>
        <w:numPr>
          <w:ilvl w:val="0"/>
          <w:numId w:val="0"/>
        </w:numPr>
        <w:ind w:left="454"/>
        <w:rPr>
          <w:i/>
          <w:color w:val="00B050"/>
        </w:rPr>
      </w:pPr>
      <w:r w:rsidRPr="003C4A3D">
        <w:rPr>
          <w:i/>
          <w:color w:val="00B050"/>
        </w:rPr>
        <w:t xml:space="preserve">  </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35C7AD2C" w:rsidR="000E03DC" w:rsidRPr="00A74DF1" w:rsidRDefault="00F422D3" w:rsidP="005925DB">
      <w:pPr>
        <w:pStyle w:val="SoDTextbezslovn"/>
        <w:rPr>
          <w:color w:val="00B050"/>
        </w:rPr>
      </w:pPr>
      <w:r w:rsidRPr="00A74DF1">
        <w:t>Příloha č.</w:t>
      </w:r>
      <w:r w:rsidR="00973C20" w:rsidRPr="00A74DF1">
        <w:t xml:space="preserve"> </w:t>
      </w:r>
      <w:r w:rsidR="00F465D8" w:rsidRPr="00A74DF1">
        <w:t>8</w:t>
      </w:r>
      <w:r w:rsidR="00973C20" w:rsidRPr="00A74DF1">
        <w:tab/>
      </w:r>
      <w:r w:rsidR="00B9342A" w:rsidRPr="00A74DF1">
        <w:t>NEOBSAZENO</w:t>
      </w:r>
    </w:p>
    <w:p w14:paraId="71070920" w14:textId="552AB3E1" w:rsidR="00F422D3" w:rsidRPr="00A74DF1" w:rsidRDefault="00F422D3" w:rsidP="00A74DF1">
      <w:pPr>
        <w:pStyle w:val="SoDTextbezslovn"/>
      </w:pPr>
      <w:r w:rsidRPr="00A74DF1">
        <w:t>Příloha č.</w:t>
      </w:r>
      <w:r w:rsidR="00F465D8" w:rsidRPr="00A74DF1">
        <w:t xml:space="preserve"> 9</w:t>
      </w:r>
      <w:r w:rsidRPr="00A74DF1">
        <w:tab/>
        <w:t>Žádost o poskytnutí zálohové platby</w:t>
      </w:r>
      <w:r w:rsidR="005C06CE" w:rsidRPr="00A74DF1">
        <w:t>.</w:t>
      </w:r>
    </w:p>
    <w:p w14:paraId="35F60ECE" w14:textId="106CB16B" w:rsidR="000E03DC" w:rsidRDefault="00077CE2" w:rsidP="005925DB">
      <w:pPr>
        <w:pStyle w:val="SoDTextbezslovn"/>
      </w:pPr>
      <w:r w:rsidRPr="00A74DF1">
        <w:t>Příloha č.</w:t>
      </w:r>
      <w:r w:rsidR="000E03DC" w:rsidRPr="00A74DF1">
        <w:t xml:space="preserve"> </w:t>
      </w:r>
      <w:r w:rsidRPr="00A74DF1">
        <w:t>10</w:t>
      </w:r>
      <w:r w:rsidRPr="00A74DF1">
        <w:tab/>
      </w:r>
      <w:r w:rsidR="00B9342A" w:rsidRPr="00A74DF1">
        <w:t>NEOBSAZENO</w:t>
      </w:r>
      <w:r w:rsidRPr="00DA5988">
        <w:t xml:space="preserve"> </w:t>
      </w:r>
    </w:p>
    <w:p w14:paraId="6F331C47" w14:textId="77777777" w:rsidR="000E03DC" w:rsidRDefault="00DA5988" w:rsidP="005925DB">
      <w:pPr>
        <w:pStyle w:val="SoDTextbezslovn"/>
      </w:pPr>
      <w:r>
        <w:lastRenderedPageBreak/>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bookmarkStart w:id="5" w:name="_Hlk210295520"/>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bookmarkEnd w:id="5"/>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36F15B88" w:rsidR="00CA52F9" w:rsidRPr="00DA5988" w:rsidRDefault="00CA52F9" w:rsidP="002038D5">
      <w:pPr>
        <w:pStyle w:val="SoDTextbezodsazen"/>
      </w:pPr>
      <w:r w:rsidRPr="00DA5988">
        <w:t>Odborný personál Zhotovitele (</w:t>
      </w:r>
      <w:r w:rsidR="006E1ABF">
        <w:t>N</w:t>
      </w:r>
      <w:r w:rsidR="00D40E88" w:rsidRPr="00DA5988">
        <w:t>a příslušné pozici člena odborného personálu může být pouze jedna fyzická osoba</w:t>
      </w:r>
      <w:r w:rsidR="00617CE5">
        <w:t>. T</w:t>
      </w:r>
      <w:r w:rsidR="009573FC" w:rsidRPr="00DA5988">
        <w:t xml:space="preserve">oto omezení se netýká pozice </w:t>
      </w:r>
      <w:r w:rsidR="00617CE5">
        <w:t>Autorizovaný</w:t>
      </w:r>
      <w:r w:rsidR="00617CE5" w:rsidRPr="00DA5988">
        <w:t xml:space="preserve"> </w:t>
      </w:r>
      <w:r w:rsidR="009573FC" w:rsidRPr="00DA5988">
        <w:t>zeměměřický inženýr</w:t>
      </w:r>
      <w:r w:rsidR="00617CE5">
        <w:t xml:space="preserve">. Toto omezení se netýká ani pozice Zástupce stavbyvedoucího, kde se uvede minimálně 1 osoba, maximálně 3 osoby). </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765306CC" w:rsidR="002038D5" w:rsidRPr="00F95FBD" w:rsidRDefault="00165977" w:rsidP="00F762A8">
      <w:pPr>
        <w:pStyle w:val="SoDNadpistabulky"/>
        <w:rPr>
          <w:sz w:val="18"/>
          <w:szCs w:val="18"/>
        </w:rPr>
      </w:pPr>
      <w:bookmarkStart w:id="6" w:name="_Hlk210294529"/>
      <w:r w:rsidRPr="00F95FBD">
        <w:rPr>
          <w:sz w:val="18"/>
          <w:szCs w:val="18"/>
        </w:rPr>
        <w:t xml:space="preserve">Specialista (vedoucí prací) na železniční svršek </w:t>
      </w:r>
      <w:r w:rsidR="00E3469A">
        <w:rPr>
          <w:sz w:val="18"/>
          <w:szCs w:val="18"/>
        </w:rPr>
        <w:t xml:space="preserve">a </w:t>
      </w:r>
      <w:r w:rsidR="00E3469A" w:rsidRPr="00F95FBD">
        <w:rPr>
          <w:sz w:val="18"/>
          <w:szCs w:val="18"/>
        </w:rPr>
        <w:t>spodek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6"/>
    </w:tbl>
    <w:p w14:paraId="48816604" w14:textId="77777777" w:rsidR="002038D5" w:rsidRPr="00F95FBD" w:rsidRDefault="002038D5" w:rsidP="00165977">
      <w:pPr>
        <w:pStyle w:val="SoDTabulka"/>
      </w:pPr>
    </w:p>
    <w:p w14:paraId="27337827" w14:textId="1A8855A9" w:rsidR="002038D5" w:rsidRPr="00F95FBD" w:rsidRDefault="00165977" w:rsidP="00165977">
      <w:pPr>
        <w:pStyle w:val="SoDNadpistabulky"/>
        <w:rPr>
          <w:sz w:val="18"/>
          <w:szCs w:val="18"/>
        </w:rPr>
      </w:pPr>
      <w:r w:rsidRPr="00F95FBD">
        <w:rPr>
          <w:sz w:val="18"/>
          <w:szCs w:val="18"/>
        </w:rPr>
        <w:lastRenderedPageBreak/>
        <w:t>Specialista (vedoucí prací</w:t>
      </w:r>
      <w:r w:rsidR="00952521">
        <w:rPr>
          <w:sz w:val="18"/>
          <w:szCs w:val="18"/>
        </w:rPr>
        <w:t xml:space="preserve">) </w:t>
      </w:r>
      <w:r w:rsidRPr="00F95FBD">
        <w:rPr>
          <w:sz w:val="18"/>
          <w:szCs w:val="18"/>
        </w:rPr>
        <w:t>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02E4F0BE"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A41973" w14:textId="77777777" w:rsidR="00E3469A" w:rsidRPr="00F95FBD" w:rsidRDefault="00E3469A" w:rsidP="00E3469A">
      <w:pPr>
        <w:pStyle w:val="SoDTabulka"/>
      </w:pPr>
    </w:p>
    <w:p w14:paraId="4E697FBC" w14:textId="08F9CB4D" w:rsidR="00952521" w:rsidRPr="00F95FBD" w:rsidRDefault="00952521" w:rsidP="00952521">
      <w:pPr>
        <w:pStyle w:val="SoDNadpistabulky"/>
        <w:rPr>
          <w:sz w:val="18"/>
          <w:szCs w:val="18"/>
        </w:rPr>
      </w:pPr>
      <w:r>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952521" w:rsidRPr="00003F09" w14:paraId="1EE309F7" w14:textId="77777777" w:rsidTr="0015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626AA" w14:textId="77777777" w:rsidR="00952521" w:rsidRPr="00003F09" w:rsidRDefault="00952521" w:rsidP="00156B53">
            <w:pPr>
              <w:pStyle w:val="SoDTabulka-Tun"/>
            </w:pPr>
            <w:r w:rsidRPr="00003F09">
              <w:t>Jméno a příjmení</w:t>
            </w:r>
          </w:p>
        </w:tc>
        <w:tc>
          <w:tcPr>
            <w:tcW w:w="5733" w:type="dxa"/>
          </w:tcPr>
          <w:p w14:paraId="441619A8" w14:textId="77777777" w:rsidR="00952521" w:rsidRPr="00003F09" w:rsidRDefault="00952521" w:rsidP="00156B53">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52521" w:rsidRPr="00F95FBD" w14:paraId="36F11E7F" w14:textId="77777777" w:rsidTr="00156B53">
        <w:tc>
          <w:tcPr>
            <w:cnfStyle w:val="001000000000" w:firstRow="0" w:lastRow="0" w:firstColumn="1" w:lastColumn="0" w:oddVBand="0" w:evenVBand="0" w:oddHBand="0" w:evenHBand="0" w:firstRowFirstColumn="0" w:firstRowLastColumn="0" w:lastRowFirstColumn="0" w:lastRowLastColumn="0"/>
            <w:tcW w:w="3056" w:type="dxa"/>
          </w:tcPr>
          <w:p w14:paraId="07020A99" w14:textId="77777777" w:rsidR="00952521" w:rsidRPr="00F95FBD" w:rsidRDefault="00952521" w:rsidP="00156B53">
            <w:pPr>
              <w:pStyle w:val="SoDTabulka"/>
            </w:pPr>
            <w:r w:rsidRPr="00F95FBD">
              <w:t>Adresa</w:t>
            </w:r>
          </w:p>
        </w:tc>
        <w:tc>
          <w:tcPr>
            <w:tcW w:w="5733" w:type="dxa"/>
          </w:tcPr>
          <w:p w14:paraId="745D3618" w14:textId="77777777" w:rsidR="00952521" w:rsidRPr="00F95FBD" w:rsidRDefault="00952521" w:rsidP="00156B5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52521" w:rsidRPr="00F95FBD" w14:paraId="6B67F5FF" w14:textId="77777777" w:rsidTr="00156B53">
        <w:tc>
          <w:tcPr>
            <w:cnfStyle w:val="001000000000" w:firstRow="0" w:lastRow="0" w:firstColumn="1" w:lastColumn="0" w:oddVBand="0" w:evenVBand="0" w:oddHBand="0" w:evenHBand="0" w:firstRowFirstColumn="0" w:firstRowLastColumn="0" w:lastRowFirstColumn="0" w:lastRowLastColumn="0"/>
            <w:tcW w:w="3056" w:type="dxa"/>
          </w:tcPr>
          <w:p w14:paraId="5B2BB7A4" w14:textId="77777777" w:rsidR="00952521" w:rsidRPr="00F95FBD" w:rsidRDefault="00952521" w:rsidP="00156B53">
            <w:pPr>
              <w:pStyle w:val="SoDTabulka"/>
              <w:keepNext/>
            </w:pPr>
            <w:r w:rsidRPr="00F95FBD">
              <w:t>E-mail</w:t>
            </w:r>
          </w:p>
        </w:tc>
        <w:tc>
          <w:tcPr>
            <w:tcW w:w="5733" w:type="dxa"/>
          </w:tcPr>
          <w:p w14:paraId="3730EFB0" w14:textId="77777777" w:rsidR="00952521" w:rsidRPr="00F95FBD" w:rsidRDefault="00952521" w:rsidP="00156B5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52521" w:rsidRPr="00F95FBD" w14:paraId="2A9C7597" w14:textId="77777777" w:rsidTr="00156B53">
        <w:tc>
          <w:tcPr>
            <w:cnfStyle w:val="001000000000" w:firstRow="0" w:lastRow="0" w:firstColumn="1" w:lastColumn="0" w:oddVBand="0" w:evenVBand="0" w:oddHBand="0" w:evenHBand="0" w:firstRowFirstColumn="0" w:firstRowLastColumn="0" w:lastRowFirstColumn="0" w:lastRowLastColumn="0"/>
            <w:tcW w:w="3056" w:type="dxa"/>
          </w:tcPr>
          <w:p w14:paraId="0E552749" w14:textId="77777777" w:rsidR="00952521" w:rsidRPr="00F95FBD" w:rsidRDefault="00952521" w:rsidP="00156B53">
            <w:pPr>
              <w:pStyle w:val="SoDTabulka"/>
            </w:pPr>
            <w:r w:rsidRPr="00F95FBD">
              <w:t>Telefon</w:t>
            </w:r>
          </w:p>
        </w:tc>
        <w:tc>
          <w:tcPr>
            <w:tcW w:w="5733" w:type="dxa"/>
          </w:tcPr>
          <w:p w14:paraId="73D0C181" w14:textId="77777777" w:rsidR="00952521" w:rsidRPr="00F95FBD" w:rsidRDefault="00952521" w:rsidP="00156B5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845706" w14:textId="77777777" w:rsidR="00952521" w:rsidRPr="00F95FBD" w:rsidRDefault="00952521" w:rsidP="00165977">
      <w:pPr>
        <w:pStyle w:val="SoDTabulka"/>
      </w:pPr>
    </w:p>
    <w:p w14:paraId="42A71E63" w14:textId="25936F95"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76B01" w14:textId="77777777" w:rsidR="00F95FBD" w:rsidRDefault="00F95FBD" w:rsidP="00165977">
      <w:pPr>
        <w:pStyle w:val="SoDTabulka"/>
        <w:sectPr w:rsidR="00F95FBD"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023B38DD" w:rsidR="00F22B17" w:rsidRDefault="00F762A8" w:rsidP="00DD598A">
      <w:pPr>
        <w:pStyle w:val="SoDslseznam-2"/>
      </w:pPr>
      <w:r>
        <w:t>Zhotovitel bude pro Objednatele zpracovávat osobní údaje třetích stran</w:t>
      </w:r>
      <w:r w:rsidR="009A56BD">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4DB131F"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C800F7" w14:textId="77777777" w:rsidR="009A56BD" w:rsidRDefault="009A56BD" w:rsidP="009A56BD">
      <w:pPr>
        <w:pStyle w:val="SoDTextbezodsazen"/>
      </w:pPr>
    </w:p>
    <w:p w14:paraId="3CD9E510" w14:textId="77777777" w:rsidR="009A56BD" w:rsidRDefault="009A56BD" w:rsidP="009A56BD">
      <w:pPr>
        <w:pStyle w:val="SoDTextbezodsazen"/>
      </w:pPr>
      <w:r>
        <w:t>5.</w:t>
      </w:r>
      <w:r>
        <w:tab/>
        <w:t xml:space="preserve">Doba zpracování </w:t>
      </w:r>
    </w:p>
    <w:p w14:paraId="0E356EC8" w14:textId="77777777" w:rsidR="009A56BD" w:rsidRDefault="009A56BD" w:rsidP="009A56BD">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4253ECC" w14:textId="77777777" w:rsidR="00DD598A" w:rsidRPr="00E3469A" w:rsidRDefault="00DD598A" w:rsidP="00392910">
      <w:pPr>
        <w:pStyle w:val="SoDNadpisbezsl1"/>
      </w:pPr>
      <w:r w:rsidRPr="00E3469A">
        <w:lastRenderedPageBreak/>
        <w:t>Příloha č. 8</w:t>
      </w:r>
    </w:p>
    <w:p w14:paraId="23E6C78B" w14:textId="5104AE4E" w:rsidR="00DD598A" w:rsidRDefault="00DD598A" w:rsidP="00DD598A">
      <w:pPr>
        <w:pStyle w:val="SoDNadpisbezsl1-2"/>
        <w:outlineLvl w:val="1"/>
      </w:pPr>
      <w:r w:rsidRPr="00E3469A">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3CDD904E" w:rsidR="00392910" w:rsidRDefault="00392910" w:rsidP="00553701">
      <w:pPr>
        <w:pStyle w:val="SoDNadpisbezsl1-2"/>
        <w:outlineLvl w:val="1"/>
      </w:pPr>
      <w:r w:rsidRPr="00E3469A">
        <w:t xml:space="preserve">Žádost o poskytnutí zálohové platby </w:t>
      </w:r>
    </w:p>
    <w:p w14:paraId="6735EEBC" w14:textId="77777777" w:rsidR="00392910" w:rsidRDefault="00392910" w:rsidP="00392910">
      <w:pPr>
        <w:pStyle w:val="SoDTextbezodsazen"/>
      </w:pPr>
    </w:p>
    <w:p w14:paraId="1B149BAF" w14:textId="12D91CA0" w:rsidR="00392910" w:rsidRDefault="00392910" w:rsidP="00392910">
      <w:pPr>
        <w:pStyle w:val="SoDTextbezodsazen"/>
      </w:pPr>
      <w:r>
        <w:t xml:space="preserve">V souladu s ustanovením pod-článku 14.2 Smluvních podmínek ke Smlouvě o dílo na zhotovení stavby </w:t>
      </w:r>
      <w:r w:rsidR="00E3469A" w:rsidRPr="00E3469A">
        <w:rPr>
          <w:b/>
          <w:bCs/>
        </w:rPr>
        <w:t xml:space="preserve">„Modernizace železničního uzlu Ostrava“, 0. </w:t>
      </w:r>
      <w:proofErr w:type="gramStart"/>
      <w:r w:rsidR="00E3469A" w:rsidRPr="00E3469A">
        <w:rPr>
          <w:b/>
          <w:bCs/>
        </w:rPr>
        <w:t>etapa - rekonstrukce</w:t>
      </w:r>
      <w:proofErr w:type="gramEnd"/>
      <w:r w:rsidR="00E3469A" w:rsidRPr="00E3469A">
        <w:rPr>
          <w:b/>
          <w:bCs/>
        </w:rPr>
        <w:t xml:space="preserve"> mostního objektu v </w:t>
      </w:r>
      <w:proofErr w:type="spellStart"/>
      <w:r w:rsidR="00E3469A" w:rsidRPr="00E3469A">
        <w:rPr>
          <w:b/>
          <w:bCs/>
        </w:rPr>
        <w:t>evid</w:t>
      </w:r>
      <w:proofErr w:type="spellEnd"/>
      <w:r w:rsidR="00E3469A" w:rsidRPr="00E3469A">
        <w:rPr>
          <w:b/>
          <w:bCs/>
        </w:rPr>
        <w:t>. km 267,935</w:t>
      </w:r>
      <w:r w:rsidR="00E3469A">
        <w:t xml:space="preserve"> </w:t>
      </w:r>
      <w:r>
        <w:t xml:space="preserve">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5"/>
          <w:footerReference w:type="default" r:id="rId46"/>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0E5FF5A9" w:rsidR="00553701" w:rsidRDefault="00EB50D5" w:rsidP="00553701">
      <w:pPr>
        <w:pStyle w:val="SoDNadpisbezsl1-2"/>
        <w:outlineLvl w:val="1"/>
      </w:pPr>
      <w:r w:rsidRPr="00E3469A">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7"/>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7"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7"/>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8"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8"/>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51"/>
      <w:headerReference w:type="default" r:id="rId52"/>
      <w:footerReference w:type="even" r:id="rId53"/>
      <w:footerReference w:type="default" r:id="rId5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AD82E" w14:textId="77777777" w:rsidR="00B93532" w:rsidRDefault="00B93532" w:rsidP="00962258">
      <w:pPr>
        <w:spacing w:after="0" w:line="240" w:lineRule="auto"/>
      </w:pPr>
      <w:r>
        <w:separator/>
      </w:r>
    </w:p>
  </w:endnote>
  <w:endnote w:type="continuationSeparator" w:id="0">
    <w:p w14:paraId="77DF1AE8" w14:textId="77777777" w:rsidR="00B93532" w:rsidRDefault="00B935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4FF3B45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14B820E3"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5314A2C0"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7A2838D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0239692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6C5059B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28F8AC1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0CE6E9C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6FCD781F"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1FC57A9E"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0CC76482"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64B9AFC4"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2</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2232DC5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2</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7D3FB8D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6CDF">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7267C" w14:textId="77777777" w:rsidR="00B93532" w:rsidRDefault="00B93532" w:rsidP="00962258">
      <w:pPr>
        <w:spacing w:after="0" w:line="240" w:lineRule="auto"/>
      </w:pPr>
      <w:r>
        <w:separator/>
      </w:r>
    </w:p>
  </w:footnote>
  <w:footnote w:type="continuationSeparator" w:id="0">
    <w:p w14:paraId="03227CBA" w14:textId="77777777" w:rsidR="00B93532" w:rsidRDefault="00B935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E175F" w14:textId="22CAD6F3" w:rsidR="00617CE5" w:rsidRDefault="00617CE5">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BFE87C9"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64C5313B" w:rsidR="00CC52D6" w:rsidRDefault="00CC52D6">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566B1303" w:rsidR="00CC52D6" w:rsidRPr="00D6163D" w:rsidRDefault="00CC52D6">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6CD58563"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04DB5195"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41A227BD" w:rsidR="00CC52D6" w:rsidRPr="00D6163D" w:rsidRDefault="00CC52D6">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4DE76889" w:rsidR="00CC52D6" w:rsidRDefault="00CC52D6">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028F48C5"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4D5BB" w14:textId="4BD0C2B7" w:rsidR="00617CE5" w:rsidRDefault="00617CE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398E687" w:rsidR="00CC52D6" w:rsidRPr="00B8518B" w:rsidRDefault="00CC52D6" w:rsidP="00FC6389">
          <w:pPr>
            <w:pStyle w:val="Zpat"/>
            <w:rPr>
              <w:rStyle w:val="slostrnky"/>
            </w:rPr>
          </w:pPr>
        </w:p>
      </w:tc>
      <w:tc>
        <w:tcPr>
          <w:tcW w:w="3458" w:type="dxa"/>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tcMar>
            <w:left w:w="0" w:type="dxa"/>
            <w:right w:w="0" w:type="dxa"/>
          </w:tcMar>
        </w:tcPr>
        <w:p w14:paraId="6FE9B4FD" w14:textId="77777777" w:rsidR="00CC52D6" w:rsidRDefault="00CC52D6" w:rsidP="00FC6389">
          <w:pPr>
            <w:pStyle w:val="Zpat"/>
          </w:pPr>
        </w:p>
      </w:tc>
      <w:tc>
        <w:tcPr>
          <w:tcW w:w="5756" w:type="dxa"/>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09DCB859"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02942F06"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3BBB178"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135D0CAB" w:rsidR="00CC52D6" w:rsidRPr="00D6163D" w:rsidRDefault="00CC52D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5D07E806"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6EAC24AD"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1"/>
  </w:num>
  <w:num w:numId="4" w16cid:durableId="1824538700">
    <w:abstractNumId w:val="5"/>
  </w:num>
  <w:num w:numId="5" w16cid:durableId="2011253051">
    <w:abstractNumId w:val="6"/>
  </w:num>
  <w:num w:numId="6" w16cid:durableId="1016079479">
    <w:abstractNumId w:val="7"/>
  </w:num>
  <w:num w:numId="7" w16cid:durableId="1247182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9"/>
  </w:num>
  <w:num w:numId="9" w16cid:durableId="2071267542">
    <w:abstractNumId w:val="10"/>
  </w:num>
  <w:num w:numId="10" w16cid:durableId="353963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8"/>
  </w:num>
  <w:num w:numId="19" w16cid:durableId="1954362540">
    <w:abstractNumId w:val="8"/>
    <w:lvlOverride w:ilvl="0">
      <w:startOverride w:val="1"/>
    </w:lvlOverride>
  </w:num>
  <w:num w:numId="20" w16cid:durableId="140078827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508"/>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0AF2"/>
    <w:rsid w:val="000926CC"/>
    <w:rsid w:val="0009746C"/>
    <w:rsid w:val="000977AF"/>
    <w:rsid w:val="000A2358"/>
    <w:rsid w:val="000A7A01"/>
    <w:rsid w:val="000A7E89"/>
    <w:rsid w:val="000B1818"/>
    <w:rsid w:val="000B4EB8"/>
    <w:rsid w:val="000B7E02"/>
    <w:rsid w:val="000C41F2"/>
    <w:rsid w:val="000C707C"/>
    <w:rsid w:val="000D19CF"/>
    <w:rsid w:val="000D22C4"/>
    <w:rsid w:val="000D27D1"/>
    <w:rsid w:val="000D37E2"/>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7982"/>
    <w:rsid w:val="002B2A52"/>
    <w:rsid w:val="002B5F7D"/>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300636"/>
    <w:rsid w:val="00314507"/>
    <w:rsid w:val="00320DE8"/>
    <w:rsid w:val="00321875"/>
    <w:rsid w:val="00322D7A"/>
    <w:rsid w:val="00327EEF"/>
    <w:rsid w:val="0033239F"/>
    <w:rsid w:val="00332829"/>
    <w:rsid w:val="003349C1"/>
    <w:rsid w:val="00335C22"/>
    <w:rsid w:val="00337C5F"/>
    <w:rsid w:val="0034230B"/>
    <w:rsid w:val="0034274B"/>
    <w:rsid w:val="0034719F"/>
    <w:rsid w:val="00350A35"/>
    <w:rsid w:val="00353277"/>
    <w:rsid w:val="0035389F"/>
    <w:rsid w:val="003571D8"/>
    <w:rsid w:val="00357BC6"/>
    <w:rsid w:val="003610C9"/>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4078F3"/>
    <w:rsid w:val="00417618"/>
    <w:rsid w:val="00420831"/>
    <w:rsid w:val="00422E5B"/>
    <w:rsid w:val="00427794"/>
    <w:rsid w:val="004328E4"/>
    <w:rsid w:val="00434C61"/>
    <w:rsid w:val="00436C9E"/>
    <w:rsid w:val="004418D7"/>
    <w:rsid w:val="00442C8C"/>
    <w:rsid w:val="00443A0F"/>
    <w:rsid w:val="00450F07"/>
    <w:rsid w:val="0045180B"/>
    <w:rsid w:val="00453CD3"/>
    <w:rsid w:val="00460660"/>
    <w:rsid w:val="00464BA9"/>
    <w:rsid w:val="00470D99"/>
    <w:rsid w:val="00471403"/>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50E5"/>
    <w:rsid w:val="004C787C"/>
    <w:rsid w:val="004D09FB"/>
    <w:rsid w:val="004D0A0A"/>
    <w:rsid w:val="004D4291"/>
    <w:rsid w:val="004E56E7"/>
    <w:rsid w:val="004E5C0E"/>
    <w:rsid w:val="004E6233"/>
    <w:rsid w:val="004E660E"/>
    <w:rsid w:val="004E7A1F"/>
    <w:rsid w:val="004F4B9B"/>
    <w:rsid w:val="004F6BB8"/>
    <w:rsid w:val="00502690"/>
    <w:rsid w:val="0050666E"/>
    <w:rsid w:val="00511513"/>
    <w:rsid w:val="00511AB9"/>
    <w:rsid w:val="00512C9D"/>
    <w:rsid w:val="005147AA"/>
    <w:rsid w:val="005163CE"/>
    <w:rsid w:val="00523BB5"/>
    <w:rsid w:val="00523EA7"/>
    <w:rsid w:val="005276CF"/>
    <w:rsid w:val="00531807"/>
    <w:rsid w:val="00535F39"/>
    <w:rsid w:val="00536018"/>
    <w:rsid w:val="00537ACD"/>
    <w:rsid w:val="005406EB"/>
    <w:rsid w:val="00541756"/>
    <w:rsid w:val="00544816"/>
    <w:rsid w:val="00551AC3"/>
    <w:rsid w:val="005522DD"/>
    <w:rsid w:val="00553375"/>
    <w:rsid w:val="00553701"/>
    <w:rsid w:val="00555884"/>
    <w:rsid w:val="00556ED2"/>
    <w:rsid w:val="0056170F"/>
    <w:rsid w:val="005731AC"/>
    <w:rsid w:val="005736B7"/>
    <w:rsid w:val="00575E5A"/>
    <w:rsid w:val="00580245"/>
    <w:rsid w:val="00582A82"/>
    <w:rsid w:val="0058370E"/>
    <w:rsid w:val="00586921"/>
    <w:rsid w:val="005919AD"/>
    <w:rsid w:val="005925DB"/>
    <w:rsid w:val="00593A7A"/>
    <w:rsid w:val="0059458D"/>
    <w:rsid w:val="005A05E8"/>
    <w:rsid w:val="005A1F44"/>
    <w:rsid w:val="005A74B9"/>
    <w:rsid w:val="005C06CE"/>
    <w:rsid w:val="005C4CFC"/>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17CE5"/>
    <w:rsid w:val="006338EC"/>
    <w:rsid w:val="00634470"/>
    <w:rsid w:val="006346F9"/>
    <w:rsid w:val="00640FF2"/>
    <w:rsid w:val="00641A81"/>
    <w:rsid w:val="00641CF5"/>
    <w:rsid w:val="006420D8"/>
    <w:rsid w:val="00643300"/>
    <w:rsid w:val="006467C2"/>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4FF9"/>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3602"/>
    <w:rsid w:val="006C442A"/>
    <w:rsid w:val="006D17CF"/>
    <w:rsid w:val="006E0578"/>
    <w:rsid w:val="006E09E9"/>
    <w:rsid w:val="006E158D"/>
    <w:rsid w:val="006E1ABF"/>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16C2"/>
    <w:rsid w:val="0076286B"/>
    <w:rsid w:val="00766169"/>
    <w:rsid w:val="00766846"/>
    <w:rsid w:val="00767399"/>
    <w:rsid w:val="00775C5E"/>
    <w:rsid w:val="0077673A"/>
    <w:rsid w:val="007775FB"/>
    <w:rsid w:val="00780051"/>
    <w:rsid w:val="007846E1"/>
    <w:rsid w:val="007847D6"/>
    <w:rsid w:val="00790E8D"/>
    <w:rsid w:val="00791EB8"/>
    <w:rsid w:val="0079311F"/>
    <w:rsid w:val="0079665E"/>
    <w:rsid w:val="007A08B0"/>
    <w:rsid w:val="007A0C9A"/>
    <w:rsid w:val="007A0E0E"/>
    <w:rsid w:val="007A1670"/>
    <w:rsid w:val="007A5172"/>
    <w:rsid w:val="007A67A0"/>
    <w:rsid w:val="007A69B3"/>
    <w:rsid w:val="007B0D3C"/>
    <w:rsid w:val="007B26A1"/>
    <w:rsid w:val="007B4089"/>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1322"/>
    <w:rsid w:val="008156D5"/>
    <w:rsid w:val="00821D01"/>
    <w:rsid w:val="00826B7B"/>
    <w:rsid w:val="00826C55"/>
    <w:rsid w:val="00831B73"/>
    <w:rsid w:val="0083320B"/>
    <w:rsid w:val="008377FF"/>
    <w:rsid w:val="00845655"/>
    <w:rsid w:val="0084659A"/>
    <w:rsid w:val="00846789"/>
    <w:rsid w:val="00846CDF"/>
    <w:rsid w:val="0085243A"/>
    <w:rsid w:val="00856160"/>
    <w:rsid w:val="008602A6"/>
    <w:rsid w:val="008624E0"/>
    <w:rsid w:val="00866994"/>
    <w:rsid w:val="00867ED8"/>
    <w:rsid w:val="008708A5"/>
    <w:rsid w:val="00874C16"/>
    <w:rsid w:val="00876F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3A7"/>
    <w:rsid w:val="008B77B6"/>
    <w:rsid w:val="008B7C0D"/>
    <w:rsid w:val="008C0E1A"/>
    <w:rsid w:val="008C50F3"/>
    <w:rsid w:val="008C7EFE"/>
    <w:rsid w:val="008D03B9"/>
    <w:rsid w:val="008D16C8"/>
    <w:rsid w:val="008D30C7"/>
    <w:rsid w:val="008D7DC8"/>
    <w:rsid w:val="008E40F0"/>
    <w:rsid w:val="008E62DB"/>
    <w:rsid w:val="008E6365"/>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2521"/>
    <w:rsid w:val="00955569"/>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A56B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5D23"/>
    <w:rsid w:val="009E7E41"/>
    <w:rsid w:val="009F01A1"/>
    <w:rsid w:val="009F0867"/>
    <w:rsid w:val="009F309B"/>
    <w:rsid w:val="009F392E"/>
    <w:rsid w:val="009F53C5"/>
    <w:rsid w:val="009F638B"/>
    <w:rsid w:val="009F77F4"/>
    <w:rsid w:val="00A0097A"/>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4DF1"/>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3C5D"/>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3A32"/>
    <w:rsid w:val="00B05B31"/>
    <w:rsid w:val="00B0619F"/>
    <w:rsid w:val="00B07C4A"/>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3532"/>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12AD"/>
    <w:rsid w:val="00BF204D"/>
    <w:rsid w:val="00C01964"/>
    <w:rsid w:val="00C02D0A"/>
    <w:rsid w:val="00C03A6E"/>
    <w:rsid w:val="00C129C7"/>
    <w:rsid w:val="00C145C0"/>
    <w:rsid w:val="00C153D5"/>
    <w:rsid w:val="00C226C0"/>
    <w:rsid w:val="00C258A4"/>
    <w:rsid w:val="00C41F7A"/>
    <w:rsid w:val="00C42FE6"/>
    <w:rsid w:val="00C44F6A"/>
    <w:rsid w:val="00C50C28"/>
    <w:rsid w:val="00C52164"/>
    <w:rsid w:val="00C5579E"/>
    <w:rsid w:val="00C6198E"/>
    <w:rsid w:val="00C62131"/>
    <w:rsid w:val="00C66599"/>
    <w:rsid w:val="00C708EA"/>
    <w:rsid w:val="00C71BF4"/>
    <w:rsid w:val="00C7310B"/>
    <w:rsid w:val="00C74A2E"/>
    <w:rsid w:val="00C74AE9"/>
    <w:rsid w:val="00C778A5"/>
    <w:rsid w:val="00C81781"/>
    <w:rsid w:val="00C81A30"/>
    <w:rsid w:val="00C92748"/>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2FB0"/>
    <w:rsid w:val="00CE31C4"/>
    <w:rsid w:val="00CE3B31"/>
    <w:rsid w:val="00CE7AA0"/>
    <w:rsid w:val="00CF04C0"/>
    <w:rsid w:val="00D034A0"/>
    <w:rsid w:val="00D0554F"/>
    <w:rsid w:val="00D076FA"/>
    <w:rsid w:val="00D12FC9"/>
    <w:rsid w:val="00D20BF2"/>
    <w:rsid w:val="00D21061"/>
    <w:rsid w:val="00D24D74"/>
    <w:rsid w:val="00D325E7"/>
    <w:rsid w:val="00D34167"/>
    <w:rsid w:val="00D40E88"/>
    <w:rsid w:val="00D4108E"/>
    <w:rsid w:val="00D4328E"/>
    <w:rsid w:val="00D43760"/>
    <w:rsid w:val="00D43863"/>
    <w:rsid w:val="00D453DF"/>
    <w:rsid w:val="00D463C3"/>
    <w:rsid w:val="00D5146C"/>
    <w:rsid w:val="00D519A6"/>
    <w:rsid w:val="00D5439C"/>
    <w:rsid w:val="00D6163D"/>
    <w:rsid w:val="00D617F1"/>
    <w:rsid w:val="00D628F7"/>
    <w:rsid w:val="00D65A55"/>
    <w:rsid w:val="00D679BF"/>
    <w:rsid w:val="00D706E2"/>
    <w:rsid w:val="00D831A3"/>
    <w:rsid w:val="00D843CA"/>
    <w:rsid w:val="00D97BE3"/>
    <w:rsid w:val="00DA3711"/>
    <w:rsid w:val="00DA5988"/>
    <w:rsid w:val="00DA6FFE"/>
    <w:rsid w:val="00DA734B"/>
    <w:rsid w:val="00DB3457"/>
    <w:rsid w:val="00DB530D"/>
    <w:rsid w:val="00DC231B"/>
    <w:rsid w:val="00DC6C42"/>
    <w:rsid w:val="00DD46F3"/>
    <w:rsid w:val="00DD598A"/>
    <w:rsid w:val="00DD672C"/>
    <w:rsid w:val="00DE17BB"/>
    <w:rsid w:val="00DE1AA1"/>
    <w:rsid w:val="00DE4D36"/>
    <w:rsid w:val="00DE56F2"/>
    <w:rsid w:val="00DF116D"/>
    <w:rsid w:val="00DF4286"/>
    <w:rsid w:val="00DF7C76"/>
    <w:rsid w:val="00E01B8F"/>
    <w:rsid w:val="00E10A24"/>
    <w:rsid w:val="00E1128C"/>
    <w:rsid w:val="00E16FF7"/>
    <w:rsid w:val="00E17A41"/>
    <w:rsid w:val="00E26D68"/>
    <w:rsid w:val="00E30561"/>
    <w:rsid w:val="00E32F07"/>
    <w:rsid w:val="00E3469A"/>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4C85"/>
    <w:rsid w:val="00E77326"/>
    <w:rsid w:val="00E8605C"/>
    <w:rsid w:val="00E878EE"/>
    <w:rsid w:val="00E901A3"/>
    <w:rsid w:val="00E9581B"/>
    <w:rsid w:val="00E968E5"/>
    <w:rsid w:val="00EA056C"/>
    <w:rsid w:val="00EA0FFB"/>
    <w:rsid w:val="00EA2409"/>
    <w:rsid w:val="00EA29D6"/>
    <w:rsid w:val="00EA2BB0"/>
    <w:rsid w:val="00EA585B"/>
    <w:rsid w:val="00EA6EC7"/>
    <w:rsid w:val="00EB104F"/>
    <w:rsid w:val="00EB1B21"/>
    <w:rsid w:val="00EB20ED"/>
    <w:rsid w:val="00EB2658"/>
    <w:rsid w:val="00EB2BCB"/>
    <w:rsid w:val="00EB46E5"/>
    <w:rsid w:val="00EB50D5"/>
    <w:rsid w:val="00EB6D9C"/>
    <w:rsid w:val="00EB6F9D"/>
    <w:rsid w:val="00ED14BD"/>
    <w:rsid w:val="00ED4587"/>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5FBD"/>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6AEC"/>
    <w:rsid w:val="00FF74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 w:type="table" w:customStyle="1" w:styleId="Tabulka11">
    <w:name w:val="_Tabulka_11"/>
    <w:basedOn w:val="Mkatabulky"/>
    <w:uiPriority w:val="99"/>
    <w:rsid w:val="00B03A3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header" Target="header14.xml"/><Relationship Id="rId50" Type="http://schemas.openxmlformats.org/officeDocument/2006/relationships/footer" Target="footer23.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footer" Target="footer13.xml"/><Relationship Id="rId38" Type="http://schemas.openxmlformats.org/officeDocument/2006/relationships/header" Target="header11.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7.xml"/><Relationship Id="rId54"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20.xml"/><Relationship Id="rId53" Type="http://schemas.openxmlformats.org/officeDocument/2006/relationships/footer" Target="footer2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footer" Target="footer14.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19.xml"/><Relationship Id="rId52"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0.xml"/><Relationship Id="rId43" Type="http://schemas.openxmlformats.org/officeDocument/2006/relationships/footer" Target="footer18.xml"/><Relationship Id="rId48" Type="http://schemas.openxmlformats.org/officeDocument/2006/relationships/header" Target="header1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6.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4.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4SOD_R-F_24-23</Template>
  <TotalTime>6</TotalTime>
  <Pages>32</Pages>
  <Words>4874</Words>
  <Characters>28758</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4</cp:revision>
  <cp:lastPrinted>2023-03-22T12:55:00Z</cp:lastPrinted>
  <dcterms:created xsi:type="dcterms:W3CDTF">2025-10-17T08:17:00Z</dcterms:created>
  <dcterms:modified xsi:type="dcterms:W3CDTF">2025-10-24T11:50:00Z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